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93" w:rsidRPr="003463CA" w:rsidRDefault="00BE1093" w:rsidP="00BE1093">
      <w:pPr>
        <w:spacing w:after="0" w:line="240" w:lineRule="auto"/>
        <w:rPr>
          <w:b/>
          <w:sz w:val="24"/>
          <w:szCs w:val="24"/>
        </w:rPr>
      </w:pPr>
      <w:r>
        <w:rPr>
          <w:b/>
          <w:sz w:val="24"/>
          <w:szCs w:val="24"/>
        </w:rPr>
        <w:t>ORGAN PODATKOWY w roku 2021</w:t>
      </w:r>
    </w:p>
    <w:p w:rsidR="00BE1093" w:rsidRPr="003463CA" w:rsidRDefault="00BE1093" w:rsidP="00BE1093">
      <w:pPr>
        <w:spacing w:after="0" w:line="240" w:lineRule="auto"/>
        <w:rPr>
          <w:rFonts w:ascii="Times New Roman" w:hAnsi="Times New Roman"/>
          <w:sz w:val="24"/>
          <w:szCs w:val="24"/>
        </w:rPr>
      </w:pPr>
    </w:p>
    <w:p w:rsidR="00BE1093" w:rsidRDefault="00BE1093" w:rsidP="00BE1093">
      <w:pPr>
        <w:spacing w:after="0" w:line="240" w:lineRule="auto"/>
        <w:ind w:left="720"/>
        <w:jc w:val="both"/>
      </w:pPr>
    </w:p>
    <w:p w:rsidR="00BE1093" w:rsidRPr="003463CA" w:rsidRDefault="00BE1093" w:rsidP="00BE1093">
      <w:pPr>
        <w:spacing w:after="0" w:line="240" w:lineRule="auto"/>
        <w:ind w:left="720"/>
        <w:jc w:val="both"/>
      </w:pPr>
    </w:p>
    <w:p w:rsidR="00BE1093" w:rsidRDefault="00BE1093" w:rsidP="00BE1093">
      <w:pPr>
        <w:jc w:val="both"/>
        <w:rPr>
          <w:b/>
        </w:rPr>
      </w:pPr>
      <w:r>
        <w:rPr>
          <w:b/>
        </w:rPr>
        <w:t>• rozłożył na raty</w:t>
      </w:r>
    </w:p>
    <w:p w:rsidR="00BE1093" w:rsidRDefault="00BE1093" w:rsidP="00BE1093">
      <w:pPr>
        <w:jc w:val="both"/>
      </w:pPr>
      <w:r>
        <w:rPr>
          <w:b/>
        </w:rPr>
        <w:t xml:space="preserve">   - </w:t>
      </w:r>
      <w:r w:rsidRPr="003463CA">
        <w:rPr>
          <w:b/>
        </w:rPr>
        <w:t xml:space="preserve"> zaległości podatkowe</w:t>
      </w:r>
      <w:r>
        <w:rPr>
          <w:b/>
        </w:rPr>
        <w:t xml:space="preserve"> – </w:t>
      </w:r>
      <w:r w:rsidRPr="00BE1093">
        <w:t>3 podatnikom</w:t>
      </w:r>
      <w:r>
        <w:t>, na łączną kwotę</w:t>
      </w:r>
      <w:r w:rsidR="00C874FE">
        <w:t xml:space="preserve"> należność główna </w:t>
      </w:r>
      <w:r>
        <w:t xml:space="preserve"> </w:t>
      </w:r>
      <w:r w:rsidR="00C874FE">
        <w:t xml:space="preserve">54.539,96 zł </w:t>
      </w:r>
      <w:r w:rsidR="00984F71">
        <w:br/>
        <w:t xml:space="preserve">          + </w:t>
      </w:r>
      <w:r w:rsidR="00C874FE">
        <w:t xml:space="preserve">3.495,00 zł  % + ustalono opłatę prolongacyjną 2.654,00 zł </w:t>
      </w:r>
    </w:p>
    <w:p w:rsidR="00C874FE" w:rsidRPr="00C874FE" w:rsidRDefault="00C874FE" w:rsidP="00BE1093">
      <w:pPr>
        <w:jc w:val="both"/>
      </w:pPr>
      <w:r>
        <w:t xml:space="preserve">   </w:t>
      </w:r>
      <w:r>
        <w:rPr>
          <w:b/>
        </w:rPr>
        <w:t xml:space="preserve">-     podatek </w:t>
      </w:r>
      <w:r>
        <w:t>-  1 podatnikowi, kwotę główną 11.072,00 zł + 182,00 zł opłatę prolongacyjną,</w:t>
      </w:r>
    </w:p>
    <w:p w:rsidR="00BE1093" w:rsidRDefault="00BE1093" w:rsidP="00BE1093">
      <w:pPr>
        <w:jc w:val="both"/>
      </w:pPr>
      <w:r>
        <w:t>po dogłębnej analizie dokumentów z uwagi na ważny interes podatnika i interes publiczny.</w:t>
      </w:r>
    </w:p>
    <w:p w:rsidR="00BE1093" w:rsidRDefault="00BE1093" w:rsidP="00BE1093">
      <w:pPr>
        <w:jc w:val="both"/>
        <w:rPr>
          <w:b/>
        </w:rPr>
      </w:pPr>
      <w:r w:rsidRPr="00970B95">
        <w:rPr>
          <w:b/>
        </w:rPr>
        <w:t>• umorzył zaległości podatkowe</w:t>
      </w:r>
      <w:r w:rsidR="00C874FE">
        <w:rPr>
          <w:b/>
        </w:rPr>
        <w:t xml:space="preserve"> wraz z odsetkami i opłatę prolongacyjną</w:t>
      </w:r>
    </w:p>
    <w:p w:rsidR="00BE1093" w:rsidRPr="003463CA" w:rsidRDefault="00C874FE" w:rsidP="00BE1093">
      <w:pPr>
        <w:jc w:val="both"/>
      </w:pPr>
      <w:r>
        <w:t xml:space="preserve"> 8 podatnikom w łącznej kwocie: należność główna </w:t>
      </w:r>
      <w:r w:rsidR="00BE1093">
        <w:t xml:space="preserve"> </w:t>
      </w:r>
      <w:r>
        <w:t>54.711</w:t>
      </w:r>
      <w:r w:rsidR="00BE1093">
        <w:t>,00 zł</w:t>
      </w:r>
      <w:r>
        <w:t xml:space="preserve"> + odsetki 21.818,00 zł +</w:t>
      </w:r>
      <w:r w:rsidR="00984F71">
        <w:t xml:space="preserve"> opłatę prolongacyjną 437,00 zł</w:t>
      </w:r>
      <w:r>
        <w:t>,</w:t>
      </w:r>
      <w:r w:rsidR="00BE1093">
        <w:t xml:space="preserve"> po szczegółowej weryfikacji dokumentów przedłożonych w trakcie toczących się postępowań podatkowych. Wszystkie okoliczności zostały głęboko rozważone </w:t>
      </w:r>
      <w:r>
        <w:br/>
      </w:r>
      <w:r w:rsidR="00BE1093">
        <w:t>i ocenione a ostateczne rozstrzygnięcia są ich logiczną konsekwencją</w:t>
      </w:r>
      <w:r w:rsidR="00E10BE8">
        <w:t>.</w:t>
      </w:r>
    </w:p>
    <w:p w:rsidR="00BE1093" w:rsidRPr="003463CA" w:rsidRDefault="00BE1093" w:rsidP="00BE1093">
      <w:pPr>
        <w:jc w:val="both"/>
        <w:rPr>
          <w:b/>
        </w:rPr>
      </w:pPr>
      <w:r w:rsidRPr="003463CA">
        <w:rPr>
          <w:b/>
        </w:rPr>
        <w:t>• dokonał zwrotu części podatku akcyzowego</w:t>
      </w:r>
    </w:p>
    <w:p w:rsidR="00BE1093" w:rsidRPr="003463CA" w:rsidRDefault="00B93179" w:rsidP="00BE1093">
      <w:pPr>
        <w:jc w:val="both"/>
      </w:pPr>
      <w:r>
        <w:t>R</w:t>
      </w:r>
      <w:r w:rsidR="00BE1093" w:rsidRPr="003463CA">
        <w:t>ealizując Ustawę  z dnia 10 marca 2006 r. o zwrocie podatku akcyzowego zawartego w cenie oleju napędowego wykorzystywanego do produkcji rolnej  udzielił pomocy publicznej w formie zwrotu części podatku akcyzowego zawartego w cenie oleju napędowego wykorzystywanego do produkc</w:t>
      </w:r>
      <w:r w:rsidR="00C874FE">
        <w:t>ji rolnej</w:t>
      </w:r>
      <w:r>
        <w:t xml:space="preserve">. Udzielił </w:t>
      </w:r>
      <w:r w:rsidR="00C874FE">
        <w:t xml:space="preserve"> dla 14</w:t>
      </w:r>
      <w:r w:rsidR="00BE1093" w:rsidRPr="003463CA">
        <w:t xml:space="preserve"> r</w:t>
      </w:r>
      <w:r w:rsidR="00984F71">
        <w:t>olników w łącznej kwocie 13.806,70</w:t>
      </w:r>
      <w:r>
        <w:t xml:space="preserve"> zł.  </w:t>
      </w:r>
      <w:r w:rsidR="00BE1093" w:rsidRPr="003463CA">
        <w:t xml:space="preserve">Ustawa określa zasady i tryb zwrotu podatku akcyzowego, burmistrz właściwy ze względu na miejsce położenia gruntów będących </w:t>
      </w:r>
      <w:r>
        <w:br/>
      </w:r>
      <w:r w:rsidR="00BE1093" w:rsidRPr="003463CA">
        <w:t xml:space="preserve">w posiadaniu lub współposiadaniu producenta rolnego przyznaje, na wniosek tego producenta, </w:t>
      </w:r>
      <w:r>
        <w:br/>
      </w:r>
      <w:bookmarkStart w:id="0" w:name="_GoBack"/>
      <w:bookmarkEnd w:id="0"/>
      <w:r w:rsidR="00BE1093" w:rsidRPr="003463CA">
        <w:t>w drodze decyzji, zwrot podatku.</w:t>
      </w:r>
    </w:p>
    <w:p w:rsidR="00BE1093" w:rsidRPr="003463CA" w:rsidRDefault="00BE1093" w:rsidP="00BE1093">
      <w:pPr>
        <w:spacing w:after="0" w:line="240" w:lineRule="auto"/>
        <w:jc w:val="both"/>
        <w:rPr>
          <w:b/>
        </w:rPr>
      </w:pPr>
      <w:r w:rsidRPr="003463CA">
        <w:t xml:space="preserve">• </w:t>
      </w:r>
      <w:r w:rsidRPr="003463CA">
        <w:rPr>
          <w:b/>
        </w:rPr>
        <w:t>zwol</w:t>
      </w:r>
      <w:r>
        <w:rPr>
          <w:b/>
        </w:rPr>
        <w:t xml:space="preserve">nił na podstawie  obowiązującej uchwały </w:t>
      </w:r>
      <w:r w:rsidRPr="003463CA">
        <w:rPr>
          <w:b/>
        </w:rPr>
        <w:t>Rady Miejskiej w Żarach</w:t>
      </w:r>
    </w:p>
    <w:p w:rsidR="00BE1093" w:rsidRPr="003463CA" w:rsidRDefault="00BE1093" w:rsidP="00BE1093">
      <w:pPr>
        <w:spacing w:after="0" w:line="240" w:lineRule="auto"/>
        <w:jc w:val="both"/>
      </w:pPr>
    </w:p>
    <w:p w:rsidR="00BE1093" w:rsidRDefault="00BE1093" w:rsidP="00BE1093">
      <w:pPr>
        <w:spacing w:after="0"/>
        <w:jc w:val="both"/>
      </w:pPr>
      <w:r w:rsidRPr="003463CA">
        <w:t>Wykonując uchwałę Rady Miejskiej w Żarach w sprawach zwolnień z podatku od nieruchomości, organ podatkowy będąc zobowiązany  przepisami prawa do ich realizacji dokonał zwolnień  z podatku od nieruchomości w następstwie spełnienia warunków określonych w uchwale, zwolnił</w:t>
      </w:r>
      <w:r>
        <w:t xml:space="preserve"> </w:t>
      </w:r>
      <w:r w:rsidR="00C874FE">
        <w:t xml:space="preserve">2 </w:t>
      </w:r>
      <w:r w:rsidRPr="003463CA">
        <w:t xml:space="preserve">podatników na łączną </w:t>
      </w:r>
      <w:r w:rsidR="00C874FE">
        <w:t>kwotę 209.292,98</w:t>
      </w:r>
      <w:r w:rsidRPr="003463CA">
        <w:t xml:space="preserve"> zł.</w:t>
      </w:r>
    </w:p>
    <w:p w:rsidR="00BE1093" w:rsidRDefault="00BE1093" w:rsidP="00BE1093">
      <w:pPr>
        <w:spacing w:after="0"/>
        <w:jc w:val="both"/>
        <w:rPr>
          <w:b/>
        </w:rPr>
      </w:pPr>
    </w:p>
    <w:p w:rsidR="00BE1093" w:rsidRDefault="00BE1093" w:rsidP="00BE1093">
      <w:pPr>
        <w:spacing w:after="0"/>
        <w:jc w:val="both"/>
        <w:rPr>
          <w:b/>
        </w:rPr>
      </w:pPr>
      <w:r>
        <w:rPr>
          <w:b/>
        </w:rPr>
        <w:t xml:space="preserve">• zwolnił na podstawie ustawy o podatku rolnym z tyt. nabycia gruntów rolnych </w:t>
      </w:r>
    </w:p>
    <w:p w:rsidR="00BE1093" w:rsidRDefault="00BE1093" w:rsidP="00BE1093">
      <w:pPr>
        <w:spacing w:after="0"/>
        <w:jc w:val="both"/>
        <w:rPr>
          <w:b/>
        </w:rPr>
      </w:pPr>
    </w:p>
    <w:p w:rsidR="00BE1093" w:rsidRDefault="00BE1093" w:rsidP="00BE1093">
      <w:pPr>
        <w:spacing w:after="0"/>
        <w:jc w:val="both"/>
      </w:pPr>
      <w:r w:rsidRPr="00D84466">
        <w:t>Zgodnie z art. 12 ust.1 pkt 4</w:t>
      </w:r>
      <w:r>
        <w:t>, organ podatkowy jest zobowiązany do udzielenia zwolnienia z podatku rolnego.</w:t>
      </w:r>
    </w:p>
    <w:p w:rsidR="00BE1093" w:rsidRDefault="00BE1093" w:rsidP="00BE1093">
      <w:pPr>
        <w:spacing w:after="0"/>
        <w:jc w:val="both"/>
      </w:pPr>
      <w:r>
        <w:t xml:space="preserve">Udzielono ulgi ustawowej  </w:t>
      </w:r>
      <w:r>
        <w:rPr>
          <w:b/>
        </w:rPr>
        <w:t xml:space="preserve"> </w:t>
      </w:r>
      <w:r>
        <w:t>2 podatnikom</w:t>
      </w:r>
      <w:r w:rsidR="00984F71">
        <w:t xml:space="preserve"> na łączną kwotę 1.623,39</w:t>
      </w:r>
      <w:r>
        <w:t xml:space="preserve"> zł. </w:t>
      </w:r>
    </w:p>
    <w:p w:rsidR="00C874FE" w:rsidRDefault="00C874FE" w:rsidP="00BE1093">
      <w:pPr>
        <w:spacing w:after="0"/>
        <w:jc w:val="both"/>
      </w:pPr>
    </w:p>
    <w:p w:rsidR="00C874FE" w:rsidRDefault="00C874FE" w:rsidP="00BE1093">
      <w:pPr>
        <w:spacing w:after="0"/>
        <w:jc w:val="both"/>
      </w:pPr>
    </w:p>
    <w:p w:rsidR="00C874FE" w:rsidRDefault="00C874FE" w:rsidP="00BE1093">
      <w:pPr>
        <w:spacing w:after="0"/>
        <w:jc w:val="both"/>
      </w:pPr>
    </w:p>
    <w:p w:rsidR="00C874FE" w:rsidRDefault="00C874FE" w:rsidP="00BE1093">
      <w:pPr>
        <w:spacing w:after="0"/>
        <w:jc w:val="both"/>
      </w:pPr>
    </w:p>
    <w:p w:rsidR="00C874FE" w:rsidRPr="003463CA" w:rsidRDefault="00C874FE" w:rsidP="00BE1093">
      <w:pPr>
        <w:spacing w:after="0"/>
        <w:jc w:val="both"/>
      </w:pPr>
    </w:p>
    <w:p w:rsidR="00BE1093" w:rsidRPr="003463CA" w:rsidRDefault="00BE1093" w:rsidP="00BE1093">
      <w:pPr>
        <w:spacing w:after="0"/>
        <w:jc w:val="both"/>
      </w:pPr>
    </w:p>
    <w:p w:rsidR="00BE1093" w:rsidRPr="003463CA" w:rsidRDefault="00BE1093" w:rsidP="00BE1093">
      <w:pPr>
        <w:spacing w:after="0"/>
        <w:jc w:val="both"/>
        <w:rPr>
          <w:b/>
          <w:u w:val="single"/>
        </w:rPr>
      </w:pPr>
      <w:r w:rsidRPr="003463CA">
        <w:rPr>
          <w:b/>
          <w:u w:val="single"/>
        </w:rPr>
        <w:lastRenderedPageBreak/>
        <w:t>Wyjaśnienie przepisów prawa podatkowego:</w:t>
      </w:r>
    </w:p>
    <w:p w:rsidR="00BE1093" w:rsidRPr="003463CA" w:rsidRDefault="00BE1093" w:rsidP="00BE1093">
      <w:pPr>
        <w:spacing w:after="0"/>
        <w:jc w:val="both"/>
      </w:pPr>
    </w:p>
    <w:p w:rsidR="00BE1093" w:rsidRDefault="00BE1093" w:rsidP="00BE1093">
      <w:pPr>
        <w:spacing w:after="0"/>
        <w:jc w:val="both"/>
      </w:pPr>
      <w:r w:rsidRPr="003463CA">
        <w:t>Na mocy Ustawy Ordynacja podatkowa organ podatkowy może udzielić ulg w formie umorzenia zaległości podatkowej, odroczenia zapłaty podatku bądź rozłożenia na raty zaległości podatkowych   podatnikom na ich wniosek  po wystąpieniu  przesłanek tj. – ważny interes podatnika, interes publiczny. Ich zastosowanie musi wynikać ze złożonych dokumentów.</w:t>
      </w:r>
      <w:r>
        <w:t xml:space="preserve"> </w:t>
      </w:r>
      <w:r>
        <w:br/>
        <w:t>W obecnej sytuacji epidemiologicznej uwzględniając wytyczne Ministerstwa Finansów oraz pomoc przedsiębiorcom, która jest priorytetem, ulgi udzielane były na indywidualny wniosek i oparte na bieżącej weryfikacji ich zasadności skorzystania bez konieczności ich wzywania do przedłożenia potwierdzających dokumentów w okresie późniejszym, co znacznie ułatwiało procedury postępowania, które i tak były wymagane przez Ministerstwo Finansów.</w:t>
      </w:r>
    </w:p>
    <w:p w:rsidR="00BE1093" w:rsidRPr="003463CA" w:rsidRDefault="00BE1093" w:rsidP="00BE1093">
      <w:pPr>
        <w:spacing w:after="0"/>
        <w:jc w:val="both"/>
      </w:pPr>
    </w:p>
    <w:p w:rsidR="00B93179" w:rsidRDefault="00BE1093" w:rsidP="00BE1093">
      <w:pPr>
        <w:jc w:val="both"/>
      </w:pPr>
      <w:r w:rsidRPr="003463CA">
        <w:t xml:space="preserve">Natomiast drugi rodzaj ulg podatkowych  to są   zwolnienia z podatku od </w:t>
      </w:r>
      <w:r>
        <w:t>nieruchomości  na mocy podjętej</w:t>
      </w:r>
      <w:r w:rsidRPr="003463CA">
        <w:t xml:space="preserve"> uchwał</w:t>
      </w:r>
      <w:r>
        <w:t>y</w:t>
      </w:r>
      <w:r w:rsidRPr="003463CA">
        <w:t xml:space="preserve"> przez Radę Miejską w Żarach</w:t>
      </w:r>
      <w:r w:rsidR="00B93179">
        <w:t>.</w:t>
      </w:r>
    </w:p>
    <w:p w:rsidR="00BE1093" w:rsidRPr="003463CA" w:rsidRDefault="00BE1093" w:rsidP="00BE1093">
      <w:pPr>
        <w:jc w:val="both"/>
      </w:pPr>
      <w:r w:rsidRPr="003463CA">
        <w:t xml:space="preserve"> Jest jeszcze jeden rodzaj pomocy publicznej w formie zwrotu części podatku akcyzowego         zawartego w cenie oleju napędowego wykorzystywanego do produkcji rolnej  do której wójt, burmistrz (prezydent miasta) właściwy ze względu na miejsce położenia gruntów został upoważniony do  zwrotu podatku akcyzowego na mocy  Ustawy o zwrocie podatku akcyzowego zawartego w cenie oleju napędowego wykorzystywanego do produkcji rolnej .Wypłata zwrotu podatku akcyzowego dla rolników jest zadaniem zleconym gminie z zakresu  administ</w:t>
      </w:r>
      <w:r>
        <w:t>racji rządowej. Gmina otrzymuje</w:t>
      </w:r>
      <w:r w:rsidRPr="003463CA">
        <w:t xml:space="preserve"> dotację celową z budżetu państwa na wykonanie tego zadania.   </w:t>
      </w:r>
    </w:p>
    <w:p w:rsidR="00BE1093" w:rsidRDefault="00BE1093" w:rsidP="00BE1093">
      <w:pPr>
        <w:jc w:val="both"/>
        <w:rPr>
          <w:sz w:val="20"/>
          <w:szCs w:val="20"/>
        </w:rPr>
      </w:pPr>
      <w:r w:rsidRPr="003463CA">
        <w:rPr>
          <w:sz w:val="20"/>
          <w:szCs w:val="20"/>
        </w:rPr>
        <w:t>Decyzje w sprawie ulg w spłacie zobowiązań podatkowych mają charakter uznaniowy. W myśl art. 122 ustawy OP w toku postępowania w sprawie ulg w spłacie zobowiązań podatkowych organ podatkowy podejmuje wszelkie niezbędne działania w celu dokładnego wyjaśnienia stanu faktycznego oraz załatwienia sprawy.</w:t>
      </w:r>
      <w:r>
        <w:rPr>
          <w:sz w:val="20"/>
          <w:szCs w:val="20"/>
        </w:rPr>
        <w:t xml:space="preserve"> Decyzje wydawane w sprawach ulg podatkowych muszą spełniać określone wymogi i winny zawierać uzasadnienie odpowiadające rygorom z art. 210 § 4 Ordynacji podatkowej.  Uzasadnienie wydanej decyzji ma na celu wykazanie prawidłowego procesu myślowego, który doprowadził do ustalenia treści rozstrzygnięcia.  Zaś motywy decyzji winny odzwierciedlać rację decyzyjną i wyjaśnić tok rozumowań prowadzących do zastosowania konkretnego przepisu prawa materialnego do rzeczywistej sytuacji faktycznej.  Przedstawione argumenty winny zostać ujęte w taki sposób, aby były zrozumiałe i akceptowalne przez strony. Strona po zapoznaniu się z uzasadnieniem powinna zaakceptować zasadność przesłanek faktycznych i prawnych, którymi kierował się organ przy załatwianiu sprawy. Oznacza to, że uzasadnienie takiego orzeczenia nie może odwoływać się jedynie do ogólnych zasad postępowania podatkowego i powszechności obowiązku płacenia  podatków, ale przekonywująco i jasno uzasadniać fakty, które odnoszą się do potwierdzenia istnienia lub nieistnienia ważnego interesu podatnika lub interesu publicznego. </w:t>
      </w:r>
    </w:p>
    <w:p w:rsidR="00BE1093" w:rsidRPr="003463CA" w:rsidRDefault="00BE1093" w:rsidP="00BE1093">
      <w:pPr>
        <w:jc w:val="both"/>
        <w:rPr>
          <w:b/>
          <w:sz w:val="20"/>
          <w:szCs w:val="20"/>
        </w:rPr>
      </w:pPr>
      <w:r w:rsidRPr="001D5652">
        <w:rPr>
          <w:b/>
          <w:sz w:val="20"/>
          <w:szCs w:val="20"/>
        </w:rPr>
        <w:t>Uzasadnienie decyzji uznaniowej nie może pozostawiać wątpliwości, że wszystkie okoliczności zostały głęboko rozważone i ocenione, a ostateczne rozstrzygnięcie jest ich logiczną ko</w:t>
      </w:r>
      <w:r>
        <w:rPr>
          <w:b/>
          <w:sz w:val="20"/>
          <w:szCs w:val="20"/>
        </w:rPr>
        <w:t>n</w:t>
      </w:r>
      <w:r w:rsidRPr="001D5652">
        <w:rPr>
          <w:b/>
          <w:sz w:val="20"/>
          <w:szCs w:val="20"/>
        </w:rPr>
        <w:t>sekwencją.</w:t>
      </w:r>
    </w:p>
    <w:p w:rsidR="00BE1093" w:rsidRPr="003463CA" w:rsidRDefault="00BE1093" w:rsidP="00BE1093">
      <w:pPr>
        <w:jc w:val="both"/>
        <w:rPr>
          <w:sz w:val="20"/>
          <w:szCs w:val="20"/>
        </w:rPr>
      </w:pPr>
      <w:r w:rsidRPr="003463CA">
        <w:rPr>
          <w:sz w:val="20"/>
          <w:szCs w:val="20"/>
        </w:rPr>
        <w:t xml:space="preserve">Przepisy prawa podatkowego, posługując się pojęciami: </w:t>
      </w:r>
      <w:r w:rsidRPr="003463CA">
        <w:rPr>
          <w:b/>
          <w:sz w:val="20"/>
          <w:szCs w:val="20"/>
        </w:rPr>
        <w:t>ważnego interesu podatnika bądź interesu publicznego</w:t>
      </w:r>
      <w:r w:rsidRPr="003463CA">
        <w:rPr>
          <w:sz w:val="20"/>
          <w:szCs w:val="20"/>
        </w:rPr>
        <w:t xml:space="preserve">, jednocześnie ich nie definiują, ani też nie odsyłają do innych aktów prawnych. Pojęcie ważnego interesu podatnika oraz </w:t>
      </w:r>
      <w:r w:rsidRPr="003463CA">
        <w:rPr>
          <w:b/>
          <w:sz w:val="20"/>
          <w:szCs w:val="20"/>
        </w:rPr>
        <w:t>interesu publicznego</w:t>
      </w:r>
      <w:r w:rsidRPr="003463CA">
        <w:rPr>
          <w:sz w:val="20"/>
          <w:szCs w:val="20"/>
        </w:rPr>
        <w:t xml:space="preserve"> są pojęciami niedookreślonymi, które nie mają stałej treści – pojęcia te mają odrębne znaczenie w zależności od kontekstu sprawy. Dlatego też ich treść jest oceniana </w:t>
      </w:r>
      <w:r w:rsidRPr="003463CA">
        <w:rPr>
          <w:sz w:val="20"/>
          <w:szCs w:val="20"/>
        </w:rPr>
        <w:br/>
        <w:t>z uwzględnieniem konkretnych okoliczności występujących w danej sprawie.  W tym zakresie istnieje bogate orzecznictwo sądów administracyjnych, które wskazują, jakie okoliczności powinny być brane pod uwagę przy ocenie przesłanek udzielenia ulg w spłacie zobowiązań podatkowych .</w:t>
      </w:r>
    </w:p>
    <w:p w:rsidR="00BE1093" w:rsidRPr="003463CA" w:rsidRDefault="00BE1093" w:rsidP="00BE1093">
      <w:pPr>
        <w:jc w:val="both"/>
        <w:rPr>
          <w:sz w:val="20"/>
          <w:szCs w:val="20"/>
        </w:rPr>
      </w:pPr>
      <w:r w:rsidRPr="003463CA">
        <w:rPr>
          <w:sz w:val="20"/>
          <w:szCs w:val="20"/>
        </w:rPr>
        <w:lastRenderedPageBreak/>
        <w:t xml:space="preserve">W pojęciu  </w:t>
      </w:r>
      <w:r w:rsidRPr="003463CA">
        <w:rPr>
          <w:b/>
          <w:sz w:val="20"/>
          <w:szCs w:val="20"/>
        </w:rPr>
        <w:t xml:space="preserve">ważnego interesu  podatnika,  mieści się ochrona wartości powszechnie cenionych, wysoko usytuowanych w ich hierarchii. </w:t>
      </w:r>
      <w:r w:rsidRPr="003463CA">
        <w:rPr>
          <w:sz w:val="20"/>
          <w:szCs w:val="20"/>
        </w:rPr>
        <w:t xml:space="preserve">Przyjmuje się, że w ramach ważnego interesu podatnika mieszczą się np. sytuacje nadzwyczajne, czy losowe, utrata możliwości zarobkowania, albowiem z subiektywnego punktu widzenia praktycznie każdy obowiązek zapłaty jest dolegliwy dla zobowiązanego do jego wykonania.  </w:t>
      </w:r>
    </w:p>
    <w:p w:rsidR="00BE1093" w:rsidRPr="003463CA" w:rsidRDefault="00BE1093" w:rsidP="00BE1093">
      <w:pPr>
        <w:jc w:val="both"/>
        <w:rPr>
          <w:sz w:val="20"/>
          <w:szCs w:val="20"/>
        </w:rPr>
      </w:pPr>
      <w:r w:rsidRPr="003463CA">
        <w:rPr>
          <w:sz w:val="20"/>
          <w:szCs w:val="20"/>
        </w:rPr>
        <w:t xml:space="preserve">Natomiast przez </w:t>
      </w:r>
      <w:r w:rsidRPr="003463CA">
        <w:rPr>
          <w:b/>
          <w:sz w:val="20"/>
          <w:szCs w:val="20"/>
        </w:rPr>
        <w:t xml:space="preserve"> interes publiczny rozumie się dyrektywę postępowania nakazującą mieć na uwadze wartości wspólne dla całego społeczeństwa, takie jak sprawiedliwość, bezpieczeństwo, zaufanie obywateli do organów władzy, sprawność działania aparatu państwowego, korektę błędnych decyzji (wyrok NSA </w:t>
      </w:r>
      <w:r w:rsidRPr="003463CA">
        <w:rPr>
          <w:b/>
          <w:sz w:val="20"/>
          <w:szCs w:val="20"/>
        </w:rPr>
        <w:br/>
        <w:t>z 22.04.1999r. SA/</w:t>
      </w:r>
      <w:proofErr w:type="spellStart"/>
      <w:r w:rsidRPr="003463CA">
        <w:rPr>
          <w:b/>
          <w:sz w:val="20"/>
          <w:szCs w:val="20"/>
        </w:rPr>
        <w:t>Sz</w:t>
      </w:r>
      <w:proofErr w:type="spellEnd"/>
      <w:r w:rsidRPr="003463CA">
        <w:rPr>
          <w:b/>
          <w:sz w:val="20"/>
          <w:szCs w:val="20"/>
        </w:rPr>
        <w:t xml:space="preserve"> 850/98, wyrok NSA z 21.05.2003 r. III SA 2752/01).</w:t>
      </w:r>
    </w:p>
    <w:p w:rsidR="00BE1093" w:rsidRPr="003463CA" w:rsidRDefault="00BE1093" w:rsidP="00BE1093">
      <w:pPr>
        <w:jc w:val="both"/>
        <w:rPr>
          <w:i/>
          <w:sz w:val="20"/>
          <w:szCs w:val="20"/>
        </w:rPr>
      </w:pPr>
      <w:r w:rsidRPr="003463CA">
        <w:rPr>
          <w:i/>
          <w:sz w:val="20"/>
          <w:szCs w:val="20"/>
        </w:rPr>
        <w:t xml:space="preserve">Ulgi podatkowe stanowią odstępstwo od zasady powszechności i równości opodatkowania, a zatem ich stosowanie może mieć miejsce w okolicznościach faktycznych nadzwyczajnych, z reguły od podatnika niezależnych. </w:t>
      </w:r>
    </w:p>
    <w:p w:rsidR="00BE1093" w:rsidRPr="003463CA" w:rsidRDefault="00BE1093" w:rsidP="00BE1093">
      <w:pPr>
        <w:jc w:val="both"/>
        <w:rPr>
          <w:i/>
          <w:sz w:val="20"/>
          <w:szCs w:val="20"/>
        </w:rPr>
      </w:pPr>
      <w:r w:rsidRPr="003463CA">
        <w:rPr>
          <w:i/>
          <w:sz w:val="20"/>
          <w:szCs w:val="20"/>
        </w:rPr>
        <w:t>Wszelkie ulgi w spłacie należności podatkowych winny być traktowane jako wyjątek od zasady powszechności płacenia podatków w określonych ustawowo terminach i mogą być stosowane tylko w wyjątkowych okolicznościach, gdy zapłata należności na ogólnie obowiązujących zasadach nie jest możliwa z przyczyn niezależnych od podatnika.</w:t>
      </w:r>
    </w:p>
    <w:p w:rsidR="00BE1093" w:rsidRPr="003463CA" w:rsidRDefault="00BE1093" w:rsidP="00BE1093">
      <w:pPr>
        <w:jc w:val="both"/>
        <w:rPr>
          <w:sz w:val="20"/>
          <w:szCs w:val="20"/>
        </w:rPr>
      </w:pPr>
      <w:r w:rsidRPr="003463CA">
        <w:rPr>
          <w:sz w:val="20"/>
          <w:szCs w:val="20"/>
        </w:rPr>
        <w:t xml:space="preserve">Reasumując, należy stwierdzić, że ocena, czy w danej sprawie zachodzą okoliczności, które mogą być uznane    za stanowiące o ważnym interesie podatnika lub interesie publicznym, należy do organu podatkowego dokonującego rozstrzygnięcia w sprawie. </w:t>
      </w:r>
      <w:r w:rsidRPr="003463CA">
        <w:rPr>
          <w:b/>
          <w:sz w:val="20"/>
          <w:szCs w:val="20"/>
        </w:rPr>
        <w:t>Jednak uznaniowość nie oznacza dowolności</w:t>
      </w:r>
      <w:r w:rsidRPr="003463CA">
        <w:rPr>
          <w:sz w:val="20"/>
          <w:szCs w:val="20"/>
        </w:rPr>
        <w:t xml:space="preserve"> w podejmowaniu decyzji. Organ podatkowy jest zobowiązany wyważać interes społeczny z indywidualnym interesem podatnika w związku z obowiązkiem wynikającym z art. 2 Konstytucji Rzeczypospolitej Polskiej. Należy uwzględniać też sytuację budżetową miasta.</w:t>
      </w:r>
    </w:p>
    <w:p w:rsidR="00BE1093" w:rsidRPr="003463CA" w:rsidRDefault="00BE1093" w:rsidP="00BE1093">
      <w:pPr>
        <w:jc w:val="both"/>
        <w:rPr>
          <w:sz w:val="20"/>
          <w:szCs w:val="20"/>
        </w:rPr>
      </w:pPr>
      <w:r w:rsidRPr="003463CA">
        <w:rPr>
          <w:sz w:val="20"/>
          <w:szCs w:val="20"/>
        </w:rPr>
        <w:t>W przypadku rozłożenia na raty zaległości podatkowej</w:t>
      </w:r>
      <w:r w:rsidR="003D3EEB">
        <w:rPr>
          <w:sz w:val="20"/>
          <w:szCs w:val="20"/>
        </w:rPr>
        <w:t xml:space="preserve"> czy podatku </w:t>
      </w:r>
      <w:r w:rsidRPr="003463CA">
        <w:rPr>
          <w:sz w:val="20"/>
          <w:szCs w:val="20"/>
        </w:rPr>
        <w:t xml:space="preserve"> organ podatkowy niemalże zawsze wydaje decyzję pozytywną.</w:t>
      </w:r>
    </w:p>
    <w:p w:rsidR="00BE1093" w:rsidRPr="003463CA" w:rsidRDefault="00BE1093" w:rsidP="00BE1093">
      <w:pPr>
        <w:jc w:val="both"/>
        <w:rPr>
          <w:sz w:val="20"/>
          <w:szCs w:val="20"/>
        </w:rPr>
      </w:pPr>
      <w:r w:rsidRPr="003463CA">
        <w:rPr>
          <w:sz w:val="20"/>
          <w:szCs w:val="20"/>
        </w:rPr>
        <w:t xml:space="preserve">Należy mieć na względzie również art. 7 Konstytucji RP oraz art. 120 Ordynacji podatkowej, </w:t>
      </w:r>
    </w:p>
    <w:p w:rsidR="00BE1093" w:rsidRDefault="00BE1093" w:rsidP="00BE1093">
      <w:pPr>
        <w:jc w:val="both"/>
        <w:rPr>
          <w:b/>
          <w:sz w:val="20"/>
          <w:szCs w:val="20"/>
          <w:u w:val="single"/>
        </w:rPr>
      </w:pPr>
      <w:r w:rsidRPr="003463CA">
        <w:rPr>
          <w:b/>
          <w:sz w:val="20"/>
          <w:szCs w:val="20"/>
          <w:u w:val="single"/>
        </w:rPr>
        <w:t>-  organ podatkowy ma obowiązek stosowania przepisów prawa.</w:t>
      </w:r>
    </w:p>
    <w:p w:rsidR="00BE1093" w:rsidRDefault="00BE1093" w:rsidP="00BE1093">
      <w:pPr>
        <w:jc w:val="both"/>
        <w:rPr>
          <w:b/>
          <w:sz w:val="20"/>
          <w:szCs w:val="20"/>
          <w:u w:val="single"/>
        </w:rPr>
      </w:pPr>
      <w:r>
        <w:rPr>
          <w:b/>
          <w:sz w:val="20"/>
          <w:szCs w:val="20"/>
          <w:u w:val="single"/>
        </w:rPr>
        <w:t xml:space="preserve">                           </w:t>
      </w:r>
    </w:p>
    <w:p w:rsidR="00BE1093" w:rsidRPr="003463CA" w:rsidRDefault="00BE1093" w:rsidP="00BE1093">
      <w:pPr>
        <w:jc w:val="both"/>
        <w:rPr>
          <w:b/>
          <w:sz w:val="20"/>
          <w:szCs w:val="20"/>
          <w:u w:val="single"/>
        </w:rPr>
      </w:pPr>
    </w:p>
    <w:p w:rsidR="00BE1093" w:rsidRPr="003463CA" w:rsidRDefault="00BE1093" w:rsidP="00BE1093">
      <w:pPr>
        <w:spacing w:after="0" w:line="240" w:lineRule="auto"/>
        <w:rPr>
          <w:b/>
          <w:sz w:val="16"/>
          <w:szCs w:val="16"/>
        </w:rPr>
      </w:pPr>
    </w:p>
    <w:p w:rsidR="00BE1093" w:rsidRDefault="00BE1093" w:rsidP="00BE1093">
      <w:pPr>
        <w:tabs>
          <w:tab w:val="left" w:pos="2460"/>
        </w:tabs>
        <w:spacing w:after="0" w:line="240" w:lineRule="auto"/>
        <w:rPr>
          <w:b/>
          <w:sz w:val="16"/>
          <w:szCs w:val="16"/>
        </w:rPr>
      </w:pPr>
    </w:p>
    <w:p w:rsidR="00BE1093" w:rsidRDefault="00BE1093" w:rsidP="00BE1093">
      <w:pPr>
        <w:tabs>
          <w:tab w:val="left" w:pos="2460"/>
        </w:tabs>
        <w:spacing w:after="0" w:line="240" w:lineRule="auto"/>
        <w:rPr>
          <w:b/>
          <w:sz w:val="16"/>
          <w:szCs w:val="16"/>
        </w:rPr>
      </w:pPr>
    </w:p>
    <w:p w:rsidR="00BE1093" w:rsidRDefault="00BE1093" w:rsidP="00BE1093">
      <w:pPr>
        <w:tabs>
          <w:tab w:val="left" w:pos="2460"/>
        </w:tabs>
        <w:spacing w:after="0" w:line="240" w:lineRule="auto"/>
        <w:rPr>
          <w:b/>
          <w:sz w:val="16"/>
          <w:szCs w:val="16"/>
        </w:rPr>
      </w:pPr>
    </w:p>
    <w:p w:rsidR="00BE1093" w:rsidRDefault="00BE1093" w:rsidP="00BE1093">
      <w:pPr>
        <w:tabs>
          <w:tab w:val="left" w:pos="2460"/>
        </w:tabs>
        <w:spacing w:after="0" w:line="240" w:lineRule="auto"/>
        <w:rPr>
          <w:b/>
          <w:sz w:val="16"/>
          <w:szCs w:val="16"/>
        </w:rPr>
      </w:pPr>
    </w:p>
    <w:p w:rsidR="00BE1093" w:rsidRDefault="00BE1093" w:rsidP="00BE1093">
      <w:pPr>
        <w:tabs>
          <w:tab w:val="left" w:pos="2460"/>
        </w:tabs>
        <w:spacing w:after="0" w:line="240" w:lineRule="auto"/>
        <w:rPr>
          <w:b/>
          <w:sz w:val="16"/>
          <w:szCs w:val="16"/>
        </w:rPr>
      </w:pPr>
    </w:p>
    <w:p w:rsidR="00BE1093" w:rsidRDefault="00BE1093" w:rsidP="00BE1093">
      <w:pPr>
        <w:tabs>
          <w:tab w:val="left" w:pos="2460"/>
        </w:tabs>
        <w:spacing w:after="0" w:line="240" w:lineRule="auto"/>
        <w:rPr>
          <w:b/>
          <w:sz w:val="16"/>
          <w:szCs w:val="16"/>
        </w:rPr>
      </w:pPr>
    </w:p>
    <w:p w:rsidR="00BE1093" w:rsidRDefault="00BE1093" w:rsidP="00BE1093">
      <w:pPr>
        <w:tabs>
          <w:tab w:val="left" w:pos="2460"/>
        </w:tabs>
        <w:spacing w:after="0" w:line="240" w:lineRule="auto"/>
        <w:rPr>
          <w:b/>
          <w:sz w:val="16"/>
          <w:szCs w:val="16"/>
        </w:rPr>
      </w:pPr>
    </w:p>
    <w:p w:rsidR="00BE1093" w:rsidRDefault="00BE1093" w:rsidP="00BE1093">
      <w:pPr>
        <w:tabs>
          <w:tab w:val="left" w:pos="2460"/>
        </w:tabs>
        <w:spacing w:after="0" w:line="240" w:lineRule="auto"/>
        <w:rPr>
          <w:b/>
          <w:sz w:val="16"/>
          <w:szCs w:val="16"/>
        </w:rPr>
      </w:pPr>
    </w:p>
    <w:p w:rsidR="00BE1093" w:rsidRDefault="00BE1093" w:rsidP="00BE1093">
      <w:pPr>
        <w:tabs>
          <w:tab w:val="left" w:pos="2460"/>
        </w:tabs>
        <w:spacing w:after="0" w:line="240" w:lineRule="auto"/>
        <w:rPr>
          <w:b/>
          <w:sz w:val="16"/>
          <w:szCs w:val="16"/>
        </w:rPr>
      </w:pPr>
    </w:p>
    <w:p w:rsidR="00BE1093" w:rsidRDefault="00BE1093" w:rsidP="00BE1093">
      <w:pPr>
        <w:tabs>
          <w:tab w:val="left" w:pos="2460"/>
        </w:tabs>
        <w:spacing w:after="0" w:line="240" w:lineRule="auto"/>
        <w:rPr>
          <w:b/>
          <w:sz w:val="16"/>
          <w:szCs w:val="16"/>
        </w:rPr>
      </w:pPr>
    </w:p>
    <w:p w:rsidR="00BE1093" w:rsidRDefault="00BE1093" w:rsidP="00BE1093">
      <w:pPr>
        <w:tabs>
          <w:tab w:val="left" w:pos="2460"/>
        </w:tabs>
        <w:spacing w:after="0" w:line="240" w:lineRule="auto"/>
        <w:rPr>
          <w:b/>
          <w:sz w:val="16"/>
          <w:szCs w:val="16"/>
        </w:rPr>
      </w:pPr>
    </w:p>
    <w:p w:rsidR="00BE1093" w:rsidRDefault="00BE1093" w:rsidP="00BE1093">
      <w:pPr>
        <w:tabs>
          <w:tab w:val="left" w:pos="2460"/>
        </w:tabs>
        <w:spacing w:after="0" w:line="240" w:lineRule="auto"/>
        <w:rPr>
          <w:b/>
          <w:sz w:val="16"/>
          <w:szCs w:val="16"/>
        </w:rPr>
      </w:pPr>
    </w:p>
    <w:p w:rsidR="00BE1093" w:rsidRDefault="00BE1093" w:rsidP="00BE1093">
      <w:pPr>
        <w:tabs>
          <w:tab w:val="left" w:pos="2460"/>
        </w:tabs>
        <w:spacing w:after="0" w:line="240" w:lineRule="auto"/>
        <w:rPr>
          <w:b/>
          <w:sz w:val="16"/>
          <w:szCs w:val="16"/>
        </w:rPr>
      </w:pPr>
    </w:p>
    <w:p w:rsidR="008C221E" w:rsidRDefault="008C221E"/>
    <w:sectPr w:rsidR="008C22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093"/>
    <w:rsid w:val="000840A2"/>
    <w:rsid w:val="003D3EEB"/>
    <w:rsid w:val="008C221E"/>
    <w:rsid w:val="00984F71"/>
    <w:rsid w:val="00B93179"/>
    <w:rsid w:val="00BE1093"/>
    <w:rsid w:val="00C874FE"/>
    <w:rsid w:val="00E10B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109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0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0BE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109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0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0BE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6964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Pawlik</dc:creator>
  <cp:lastModifiedBy>Iwona Pawlik</cp:lastModifiedBy>
  <cp:revision>2</cp:revision>
  <cp:lastPrinted>2022-01-12T11:19:00Z</cp:lastPrinted>
  <dcterms:created xsi:type="dcterms:W3CDTF">2022-01-13T08:05:00Z</dcterms:created>
  <dcterms:modified xsi:type="dcterms:W3CDTF">2022-01-13T08:05:00Z</dcterms:modified>
</cp:coreProperties>
</file>